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68B" w:rsidRDefault="0069068B" w:rsidP="0069068B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То, что ислам – одна из мировых религий, известно каждому со школьной скамьи. Гораздо меньше известно широкой публике, что на данный момент это единственная из мировых религий, которая ежегодно увеличивает число своих сторонников и последователей не только и не столько за счет естественного прироста  населения, но и за счет новообращенных. Например, в 2017 г. последователями этого вероисповедания считали себя около 1,8 млрд. человек во всем мире. Основная часть верующих проживает в странах Азии и Африки. В ряде стран – например, в Египте, Саудовской Аравии, Иране, Пакистане – ислам является государственной религией. Если говорить о странах СНГ, то ислам распространен на территории стран Средней Азии, в Казахстане, Азербайджане, в России основная масса приверженцев этой религии проживает на территории Татарстана, Башкортостана, Северного Кавказа. </w:t>
      </w:r>
    </w:p>
    <w:p w:rsidR="0069068B" w:rsidRDefault="0069068B" w:rsidP="0069068B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России пристальное изучение ислама имеет собственные причины: с одной стороны, ислам был и остается традиционной для некоторых народов нашей страны религией, с другой же, по данным Института социологии РАН с начала 1990-х гг. прирост населения Северном Кавказе составляет 38 %, в то время как, например, у татар Поволжья это 4 %, а у русских – государствообразующего этноса – прирост отрицательный.</w:t>
      </w:r>
    </w:p>
    <w:p w:rsidR="0069068B" w:rsidRDefault="0069068B" w:rsidP="0069068B">
      <w:pPr>
        <w:spacing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Шииты и сунниты</w:t>
      </w:r>
    </w:p>
    <w:p w:rsidR="0069068B" w:rsidRDefault="0069068B" w:rsidP="0069068B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основе учения шиитов лежит убеждение, что руководить </w:t>
      </w:r>
      <w:hyperlink r:id="rId6" w:tooltip="Умма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мусульманской общиной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должны </w:t>
      </w:r>
      <w:hyperlink r:id="rId7" w:tooltip="Имам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имамы,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назначенные Богом. А таковыми могут быть только лица, избранные из числа потомков пророка (к которым они относят </w:t>
      </w:r>
      <w:hyperlink r:id="rId8" w:tooltip="Али ибн Абу Талиб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Али ибн Абу Талиба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его потомков от дочери Мухаммада </w:t>
      </w:r>
      <w:hyperlink r:id="rId9" w:tooltip="Фатима (дочь пророка)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Фатимы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а не выборные лица — </w:t>
      </w:r>
      <w:hyperlink r:id="rId10" w:tooltip="Халиф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халифы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>. Шииты критично относятся к</w:t>
      </w:r>
      <w:r>
        <w:rPr>
          <w:rFonts w:ascii="Times New Roman" w:hAnsi="Times New Roman" w:cs="Times New Roman"/>
          <w:sz w:val="28"/>
          <w:szCs w:val="28"/>
        </w:rPr>
        <w:t xml:space="preserve"> халифату первых трех халифов Абу Бакра, Умара и Усмана, хотя Абу Бакр был избран большинством сподвижников, Умар был назначен Абу Бакром, а Усман был избран из шуры (совета) из семи претендентов, которых назначил Умар с такими условиями, что избрание кого-либо, кроме Усмана, не было </w:t>
      </w:r>
      <w:r>
        <w:rPr>
          <w:rFonts w:ascii="Times New Roman" w:hAnsi="Times New Roman" w:cs="Times New Roman"/>
          <w:sz w:val="28"/>
          <w:szCs w:val="28"/>
        </w:rPr>
        <w:lastRenderedPageBreak/>
        <w:t>возможным. По мнению шиитов, избрание руководителя — имама мусульманской общины, подобно избранию пророков, является прерогативой Бога.</w:t>
      </w:r>
    </w:p>
    <w:p w:rsidR="0069068B" w:rsidRDefault="0069068B" w:rsidP="0069068B">
      <w:pPr>
        <w:pStyle w:val="a4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настоящее время шииты составляют около 15 % от общего числа верующих мусульман.  Шиитского вероучения придерживается подавляющее большинство населения </w:t>
      </w:r>
      <w:hyperlink r:id="rId11" w:tooltip="Иран" w:history="1">
        <w:r>
          <w:rPr>
            <w:rStyle w:val="a3"/>
            <w:color w:val="auto"/>
            <w:sz w:val="28"/>
            <w:szCs w:val="28"/>
            <w:u w:val="none"/>
          </w:rPr>
          <w:t>Ирана</w:t>
        </w:r>
      </w:hyperlink>
      <w:r>
        <w:rPr>
          <w:sz w:val="28"/>
          <w:szCs w:val="28"/>
        </w:rPr>
        <w:t xml:space="preserve"> и </w:t>
      </w:r>
      <w:hyperlink r:id="rId12" w:tooltip="Азербайджан" w:history="1">
        <w:r>
          <w:rPr>
            <w:rStyle w:val="a3"/>
            <w:color w:val="auto"/>
            <w:sz w:val="28"/>
            <w:szCs w:val="28"/>
            <w:u w:val="none"/>
          </w:rPr>
          <w:t>Азербайджана</w:t>
        </w:r>
      </w:hyperlink>
      <w:r>
        <w:rPr>
          <w:sz w:val="28"/>
          <w:szCs w:val="28"/>
        </w:rPr>
        <w:t xml:space="preserve">, около двух третей населения </w:t>
      </w:r>
      <w:hyperlink r:id="rId13" w:tooltip="Бахрейн" w:history="1">
        <w:r>
          <w:rPr>
            <w:rStyle w:val="a3"/>
            <w:color w:val="auto"/>
            <w:sz w:val="28"/>
            <w:szCs w:val="28"/>
            <w:u w:val="none"/>
          </w:rPr>
          <w:t>Бахрейна</w:t>
        </w:r>
      </w:hyperlink>
      <w:r>
        <w:rPr>
          <w:sz w:val="28"/>
          <w:szCs w:val="28"/>
        </w:rPr>
        <w:t xml:space="preserve">, примерно треть населения </w:t>
      </w:r>
      <w:hyperlink r:id="rId14" w:tooltip="Ирак" w:history="1">
        <w:r>
          <w:rPr>
            <w:rStyle w:val="a3"/>
            <w:color w:val="auto"/>
            <w:sz w:val="28"/>
            <w:szCs w:val="28"/>
            <w:u w:val="none"/>
          </w:rPr>
          <w:t>Ирака</w:t>
        </w:r>
      </w:hyperlink>
      <w:r>
        <w:rPr>
          <w:sz w:val="28"/>
          <w:szCs w:val="28"/>
        </w:rPr>
        <w:t xml:space="preserve">, значительная часть населения </w:t>
      </w:r>
      <w:hyperlink r:id="rId15" w:tooltip="Ливан" w:history="1">
        <w:r>
          <w:rPr>
            <w:rStyle w:val="a3"/>
            <w:color w:val="auto"/>
            <w:sz w:val="28"/>
            <w:szCs w:val="28"/>
            <w:u w:val="none"/>
          </w:rPr>
          <w:t>Ливана</w:t>
        </w:r>
      </w:hyperlink>
      <w:r>
        <w:rPr>
          <w:sz w:val="28"/>
          <w:szCs w:val="28"/>
        </w:rPr>
        <w:t xml:space="preserve"> (около 40 % от общего числа мусульман) и </w:t>
      </w:r>
      <w:hyperlink r:id="rId16" w:tooltip="Йемен" w:history="1">
        <w:r>
          <w:rPr>
            <w:rStyle w:val="a3"/>
            <w:color w:val="auto"/>
            <w:sz w:val="28"/>
            <w:szCs w:val="28"/>
            <w:u w:val="none"/>
          </w:rPr>
          <w:t>Йемена</w:t>
        </w:r>
      </w:hyperlink>
      <w:r>
        <w:rPr>
          <w:sz w:val="28"/>
          <w:szCs w:val="28"/>
        </w:rPr>
        <w:t xml:space="preserve"> (около 46 %  от общего числа мусульман), в Афганистане — </w:t>
      </w:r>
      <w:hyperlink r:id="rId17" w:tooltip="Фарсиваны" w:history="1">
        <w:r>
          <w:rPr>
            <w:rStyle w:val="a3"/>
            <w:color w:val="auto"/>
            <w:sz w:val="28"/>
            <w:szCs w:val="28"/>
            <w:u w:val="none"/>
          </w:rPr>
          <w:t>фарсиваны</w:t>
        </w:r>
      </w:hyperlink>
      <w:r>
        <w:rPr>
          <w:sz w:val="28"/>
          <w:szCs w:val="28"/>
        </w:rPr>
        <w:t xml:space="preserve"> на западе страны и </w:t>
      </w:r>
      <w:hyperlink r:id="rId18" w:tooltip="Хазарейцы" w:history="1">
        <w:r>
          <w:rPr>
            <w:rStyle w:val="a3"/>
            <w:color w:val="auto"/>
            <w:sz w:val="28"/>
            <w:szCs w:val="28"/>
            <w:u w:val="none"/>
          </w:rPr>
          <w:t>хазарейцы</w:t>
        </w:r>
      </w:hyperlink>
      <w:r>
        <w:rPr>
          <w:rStyle w:val="a7"/>
          <w:sz w:val="28"/>
          <w:szCs w:val="28"/>
        </w:rPr>
        <w:footnoteReference w:id="2"/>
      </w:r>
      <w:r>
        <w:rPr>
          <w:sz w:val="28"/>
          <w:szCs w:val="28"/>
        </w:rPr>
        <w:t xml:space="preserve">, шииты проживают и в </w:t>
      </w:r>
      <w:hyperlink r:id="rId19" w:tooltip="Горно-Бадахшанская область" w:history="1">
        <w:r>
          <w:rPr>
            <w:rStyle w:val="a3"/>
            <w:color w:val="auto"/>
            <w:sz w:val="28"/>
            <w:szCs w:val="28"/>
            <w:u w:val="none"/>
          </w:rPr>
          <w:t>Горно-Бадахшанской области</w:t>
        </w:r>
      </w:hyperlink>
      <w:r>
        <w:rPr>
          <w:sz w:val="28"/>
          <w:szCs w:val="28"/>
        </w:rPr>
        <w:t xml:space="preserve"> </w:t>
      </w:r>
      <w:hyperlink r:id="rId20" w:tooltip="Таджикистан" w:history="1">
        <w:r>
          <w:rPr>
            <w:rStyle w:val="a3"/>
            <w:color w:val="auto"/>
            <w:sz w:val="28"/>
            <w:szCs w:val="28"/>
            <w:u w:val="none"/>
          </w:rPr>
          <w:t>Таджикистана</w:t>
        </w:r>
      </w:hyperlink>
      <w:r>
        <w:rPr>
          <w:sz w:val="28"/>
          <w:szCs w:val="28"/>
        </w:rPr>
        <w:t>.</w:t>
      </w:r>
    </w:p>
    <w:p w:rsidR="0069068B" w:rsidRDefault="0069068B" w:rsidP="0069068B">
      <w:pPr>
        <w:pStyle w:val="a4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Численность шиитов в России незначительна. К этому направлению ислама принадлежат проживающие в Республике Дагестан </w:t>
      </w:r>
      <w:hyperlink r:id="rId21" w:tooltip="Таты" w:history="1">
        <w:r>
          <w:rPr>
            <w:rStyle w:val="a3"/>
            <w:color w:val="auto"/>
            <w:sz w:val="28"/>
            <w:szCs w:val="28"/>
            <w:u w:val="none"/>
          </w:rPr>
          <w:t>таты</w:t>
        </w:r>
      </w:hyperlink>
      <w:r>
        <w:rPr>
          <w:sz w:val="28"/>
          <w:szCs w:val="28"/>
        </w:rPr>
        <w:t xml:space="preserve">, </w:t>
      </w:r>
      <w:hyperlink r:id="rId22" w:tooltip="Лезгины" w:history="1">
        <w:r>
          <w:rPr>
            <w:rStyle w:val="a3"/>
            <w:color w:val="auto"/>
            <w:sz w:val="28"/>
            <w:szCs w:val="28"/>
            <w:u w:val="none"/>
          </w:rPr>
          <w:t>лезгины</w:t>
        </w:r>
      </w:hyperlink>
      <w:r>
        <w:rPr>
          <w:sz w:val="28"/>
          <w:szCs w:val="28"/>
        </w:rPr>
        <w:t xml:space="preserve"> селения </w:t>
      </w:r>
      <w:hyperlink r:id="rId23" w:tooltip="Мискинджа" w:history="1">
        <w:r>
          <w:rPr>
            <w:rStyle w:val="a3"/>
            <w:color w:val="auto"/>
            <w:sz w:val="28"/>
            <w:szCs w:val="28"/>
            <w:u w:val="none"/>
          </w:rPr>
          <w:t>Мискинджа</w:t>
        </w:r>
      </w:hyperlink>
      <w:r>
        <w:rPr>
          <w:sz w:val="28"/>
          <w:szCs w:val="28"/>
        </w:rPr>
        <w:t xml:space="preserve">, а также азербайджанские общины </w:t>
      </w:r>
      <w:hyperlink r:id="rId24" w:tooltip="Дербент" w:history="1">
        <w:r>
          <w:rPr>
            <w:rStyle w:val="a3"/>
            <w:color w:val="auto"/>
            <w:sz w:val="28"/>
            <w:szCs w:val="28"/>
            <w:u w:val="none"/>
          </w:rPr>
          <w:t>Дербента</w:t>
        </w:r>
      </w:hyperlink>
      <w:r>
        <w:rPr>
          <w:sz w:val="28"/>
          <w:szCs w:val="28"/>
        </w:rPr>
        <w:t xml:space="preserve">, говорящие на местном диалекте азербайджанского языка. Кроме того шиитами является большая часть </w:t>
      </w:r>
      <w:hyperlink r:id="rId25" w:tooltip="Азербайджанцы в России" w:history="1">
        <w:r>
          <w:rPr>
            <w:rStyle w:val="a3"/>
            <w:color w:val="auto"/>
            <w:sz w:val="28"/>
            <w:szCs w:val="28"/>
            <w:u w:val="none"/>
          </w:rPr>
          <w:t>проживающих в России азербайджанцев</w:t>
        </w:r>
      </w:hyperlink>
      <w:r>
        <w:rPr>
          <w:sz w:val="28"/>
          <w:szCs w:val="28"/>
        </w:rPr>
        <w:t xml:space="preserve"> (в самом Азербайджане шииты составляют до 85 % верующего населения).</w:t>
      </w:r>
    </w:p>
    <w:p w:rsidR="0069068B" w:rsidRDefault="0069068B" w:rsidP="0069068B">
      <w:pPr>
        <w:pStyle w:val="a4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Суннитами называют себя большинство мусульман. Сунна – это предание, состоящее из рассказов (хадисов), повествующих о жизни пророка, его изречениях, деятельности и т.д. Все, кто признает святость Сунны, считаются суннитами. </w:t>
      </w:r>
    </w:p>
    <w:p w:rsidR="0069068B" w:rsidRDefault="0069068B" w:rsidP="0069068B">
      <w:pPr>
        <w:spacing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Специфика исламских законов и образа жизни</w:t>
      </w:r>
    </w:p>
    <w:p w:rsidR="0069068B" w:rsidRDefault="0069068B" w:rsidP="0069068B">
      <w:pPr>
        <w:pStyle w:val="a4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Особенность ислама в отношении правил наследования имущества (по сравнению, например, с европейским законодательством</w:t>
      </w:r>
      <w:r>
        <w:rPr>
          <w:rStyle w:val="a7"/>
          <w:sz w:val="28"/>
          <w:szCs w:val="28"/>
        </w:rPr>
        <w:footnoteReference w:id="3"/>
      </w:r>
      <w:r>
        <w:rPr>
          <w:sz w:val="28"/>
          <w:szCs w:val="28"/>
        </w:rPr>
        <w:t xml:space="preserve">) состоит в том, что </w:t>
      </w:r>
      <w:r>
        <w:rPr>
          <w:sz w:val="28"/>
          <w:szCs w:val="28"/>
        </w:rPr>
        <w:lastRenderedPageBreak/>
        <w:t>родитель не может оставить все имущество только одному ребенку, если у него имеются еще дети. Наследство делится поровну: доли сыновей равны, доли дочерей тоже равны. Дочери получают долю в два раза меньшую, чем сыновья. Обусловлено это процессуальной нормой шариата, согласно которой две женщины приравниваются к одному мужчине</w:t>
      </w:r>
      <w:r>
        <w:rPr>
          <w:rStyle w:val="a7"/>
          <w:sz w:val="28"/>
          <w:szCs w:val="28"/>
        </w:rPr>
        <w:footnoteReference w:id="4"/>
      </w:r>
      <w:r>
        <w:rPr>
          <w:sz w:val="28"/>
          <w:szCs w:val="28"/>
        </w:rPr>
        <w:t>.</w:t>
      </w:r>
    </w:p>
    <w:p w:rsidR="0069068B" w:rsidRDefault="0069068B" w:rsidP="0069068B">
      <w:pPr>
        <w:pStyle w:val="a4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Имеются и другие принципиальные отличия норм шариата (весь образ жизни мусульманина, включающий органично и нормы права) от традиций европейского законодательства. Например, власть мужа в исламе распространяется только на личность жены, но не на ее имущество. Женщину нельзя лишить ее ребенка (в случае развода, например), если тот нуждается в ее уходе. Фактически это означает, что как минимум до двух лет ребенок должен при любых (!) обстоятельствах оставаться с матерью. «А родительницы кормят своих детей два полных года… А на том, у кого родился – пропитание их и одежда, согласно обычаю» (2 : 223). Мусульманка не имеет права выйти замуж за иноверца, хотя мусульманин может жениться на христианке или иудейке. Мусульманин имеет право иметь до четырех жен, однако он обязан содержать их и их детей в абсолютно равных условиях. На практике это означает, что чаще всего мужчина-мусульманин может жениться только тогда, когда, во-первых, он в состоянии полностью содержать свою семью, во-вторых, он ограничивается одной женой. В большинстве исламских стран обычай многоженства соблюдается в основном среди богатых слоев населения.</w:t>
      </w:r>
    </w:p>
    <w:p w:rsidR="0069068B" w:rsidRDefault="0069068B" w:rsidP="0069068B">
      <w:pPr>
        <w:pStyle w:val="a4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Нормы шариата предусматривают некоторое затворничество женщин, обязывают их прикрывать свое тело. У разных народов названия эти покровы </w:t>
      </w:r>
      <w:r>
        <w:rPr>
          <w:sz w:val="28"/>
          <w:szCs w:val="28"/>
        </w:rPr>
        <w:lastRenderedPageBreak/>
        <w:t>получили различные – чадра</w:t>
      </w:r>
      <w:r>
        <w:rPr>
          <w:rStyle w:val="a7"/>
          <w:sz w:val="28"/>
          <w:szCs w:val="28"/>
        </w:rPr>
        <w:footnoteReference w:id="5"/>
      </w:r>
      <w:r>
        <w:rPr>
          <w:sz w:val="28"/>
          <w:szCs w:val="28"/>
        </w:rPr>
        <w:t>, чаршаф</w:t>
      </w:r>
      <w:r>
        <w:rPr>
          <w:rStyle w:val="a7"/>
          <w:sz w:val="28"/>
          <w:szCs w:val="28"/>
        </w:rPr>
        <w:footnoteReference w:id="6"/>
      </w:r>
      <w:r>
        <w:rPr>
          <w:sz w:val="28"/>
          <w:szCs w:val="28"/>
        </w:rPr>
        <w:t>, хиджаб</w:t>
      </w:r>
      <w:r>
        <w:rPr>
          <w:rStyle w:val="a7"/>
          <w:sz w:val="28"/>
          <w:szCs w:val="28"/>
        </w:rPr>
        <w:footnoteReference w:id="7"/>
      </w:r>
      <w:r>
        <w:rPr>
          <w:sz w:val="28"/>
          <w:szCs w:val="28"/>
        </w:rPr>
        <w:t>, паранджа, чачван</w:t>
      </w:r>
      <w:r>
        <w:rPr>
          <w:rStyle w:val="a7"/>
          <w:sz w:val="28"/>
          <w:szCs w:val="28"/>
        </w:rPr>
        <w:footnoteReference w:id="8"/>
      </w:r>
      <w:r>
        <w:rPr>
          <w:sz w:val="28"/>
          <w:szCs w:val="28"/>
        </w:rPr>
        <w:t xml:space="preserve"> (специальная черная густая волосяная сетка, скрывающая лицо) – однако первоначальное предназначение их одно, несмотря на различный внешний вид и покрой: прикрыть голову так, чтобы не видно было ни одного волоска и закрыть часть лица. Ноги должны быть полностью закрыты вплоть до того, что прикрыта должна быть обувь. Особенность России – наши мусульманки традиционно носят хиджаб (см. прилагающиеся материалы).</w:t>
      </w:r>
    </w:p>
    <w:p w:rsidR="0069068B" w:rsidRDefault="0069068B" w:rsidP="0069068B">
      <w:pPr>
        <w:pStyle w:val="a4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Рассуждая о традициях женского затворничества в исламе, стоит обратить внимание на то, что, во-первых, подобные нормы поведения были до недавнего времени распространены во всех мало-мальски развитых городских культурах (первая известная в человеческой культуре паранджа -  это порождение Древней Греции, также как и гинекей – женская половина дома – территориально остается все-таки проявлением европейской культуры). Во-вторых, в Турции, например, неслучайно есть поговорка «чадра – удел белоручки», поскольку женщина воспринималась всегда в крестьянской традиции прежде всего как работник, а работать в парандже, например, невозможно по определению. Таким образом, одеяния, полностью(!) скрывающие женщину, это, конечно, уже более поздняя традиция.</w:t>
      </w:r>
    </w:p>
    <w:p w:rsidR="0069068B" w:rsidRDefault="0069068B" w:rsidP="0069068B">
      <w:pPr>
        <w:pStyle w:val="a4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Ислам поощряет многодетность. Бесплодие воспринимается как огромное несчастье, а намеренная бездетность и безбрачие – тяжкий грех. В то же время специфика взаимоотношения полов в исламском обществе </w:t>
      </w:r>
      <w:r>
        <w:rPr>
          <w:sz w:val="28"/>
          <w:szCs w:val="28"/>
        </w:rPr>
        <w:lastRenderedPageBreak/>
        <w:t>такова, что неизбежно порождает превалирование мужского населения над женским. Обусловлено это во многом законами биологии: каждая семья, в которой имеется хотя бы две жены – это замкнутый коллектив, внутри которого с биологической точки зрения превалирует женский пол, т.е. женщин – избыток, а мужчин – недостаток, поэтому природа стремится восполнить этот пробел и в семье чаще рождаются мальчики. В свое время это было настоящим бедствием для монархов, поскольку претендентов на престол всегда было множество</w:t>
      </w:r>
      <w:r>
        <w:rPr>
          <w:rStyle w:val="a7"/>
          <w:sz w:val="28"/>
          <w:szCs w:val="28"/>
        </w:rPr>
        <w:footnoteReference w:id="9"/>
      </w:r>
      <w:r>
        <w:rPr>
          <w:sz w:val="28"/>
          <w:szCs w:val="28"/>
        </w:rPr>
        <w:t>.</w:t>
      </w:r>
    </w:p>
    <w:p w:rsidR="0069068B" w:rsidRDefault="0069068B" w:rsidP="0069068B">
      <w:pPr>
        <w:pStyle w:val="a4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основным принципам, на которых базируется исламская экономика, следует отнести следующие: </w:t>
      </w:r>
    </w:p>
    <w:p w:rsidR="0069068B" w:rsidRDefault="0069068B" w:rsidP="0069068B">
      <w:pPr>
        <w:spacing w:before="100" w:beforeAutospacing="1" w:after="100" w:afterAutospacing="1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 запрет на ссудные проценты;</w:t>
      </w:r>
    </w:p>
    <w:p w:rsidR="0069068B" w:rsidRDefault="0069068B" w:rsidP="0069068B">
      <w:pPr>
        <w:spacing w:before="100" w:beforeAutospacing="1" w:after="100" w:afterAutospacing="1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запрет на спекуляцию — использование каких-либо обстоятельств, чьих-либо затруднений в своих интересах, своих планах (например, спекуляция на политических затруднениях). </w:t>
      </w:r>
    </w:p>
    <w:p w:rsidR="0069068B" w:rsidRDefault="0069068B" w:rsidP="0069068B">
      <w:pPr>
        <w:spacing w:before="100" w:beforeAutospacing="1" w:after="100" w:afterAutospacing="1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запрет на азартные игры (лотерея и т.п.)</w:t>
      </w:r>
    </w:p>
    <w:p w:rsidR="0069068B" w:rsidRDefault="0069068B" w:rsidP="0069068B">
      <w:pPr>
        <w:spacing w:before="100" w:beforeAutospacing="1" w:after="100" w:afterAutospacing="1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запрет на инвестиции в производство и потребление алкоголя, распространение проституции, порнографии, </w:t>
      </w:r>
    </w:p>
    <w:p w:rsidR="0069068B" w:rsidRDefault="0069068B" w:rsidP="0069068B">
      <w:pPr>
        <w:spacing w:before="100" w:beforeAutospacing="1" w:after="100" w:afterAutospacing="1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запрет на переработку мяса животных, которые умерли своей смертью, крови, свинины, мяса животных, которые были забиты не «с именем Аллаха».</w:t>
      </w:r>
    </w:p>
    <w:p w:rsidR="0069068B" w:rsidRDefault="0069068B" w:rsidP="006906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Исламское образование</w:t>
      </w:r>
    </w:p>
    <w:p w:rsidR="0069068B" w:rsidRDefault="0069068B" w:rsidP="0069068B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smartTag w:uri="urn:schemas-microsoft-com:office:smarttags" w:element="metricconverter">
        <w:smartTagPr>
          <w:attr w:name="ProductID" w:val="1991 г"/>
        </w:smartTagPr>
        <w:r>
          <w:rPr>
            <w:rFonts w:ascii="Times New Roman" w:hAnsi="Times New Roman" w:cs="Times New Roman"/>
            <w:sz w:val="28"/>
            <w:szCs w:val="28"/>
          </w:rPr>
          <w:t>1991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в нашей стране существовали 4 Духовные Управления – Средней Азии и Казахстана (с центром в г.Ташкенте), Закавказья (с центром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 г.Баку). Северного Кавказа (г.Буйнакск в Дагестане)  и Европейской части СССР (позднее СНГ) и Сибири (г.Уфа). </w:t>
      </w:r>
    </w:p>
    <w:p w:rsidR="0069068B" w:rsidRDefault="0069068B" w:rsidP="0069068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данным на 2007 год – в России насчитывалось 229 мусульманских учебных заведений: 26 высших и 203 средних (зарегистрировано на начало 2007 года было 75 учебных заведений).</w:t>
      </w:r>
    </w:p>
    <w:p w:rsidR="0069068B" w:rsidRDefault="0069068B" w:rsidP="0069068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Распоряжением Правительства Российской Федерации № 775-р от 14.06.2007 г. был утвержден План мероприятий по подготовке специалистов с углубленным знанием истории и культуры ислама для работы в исламских религиозных объединениях (священнослужителей, преподавателей исламских учебных заведений, служащих аппаратов духовных управлений и издательств) для противодействия дальнейшему распространению радикального ислама</w:t>
      </w:r>
    </w:p>
    <w:p w:rsidR="00EC64B4" w:rsidRDefault="00EC64B4"/>
    <w:sectPr w:rsidR="00EC64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64B4" w:rsidRDefault="00EC64B4" w:rsidP="0069068B">
      <w:pPr>
        <w:spacing w:after="0" w:line="240" w:lineRule="auto"/>
      </w:pPr>
      <w:r>
        <w:separator/>
      </w:r>
    </w:p>
  </w:endnote>
  <w:endnote w:type="continuationSeparator" w:id="1">
    <w:p w:rsidR="00EC64B4" w:rsidRDefault="00EC64B4" w:rsidP="00690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64B4" w:rsidRDefault="00EC64B4" w:rsidP="0069068B">
      <w:pPr>
        <w:spacing w:after="0" w:line="240" w:lineRule="auto"/>
      </w:pPr>
      <w:r>
        <w:separator/>
      </w:r>
    </w:p>
  </w:footnote>
  <w:footnote w:type="continuationSeparator" w:id="1">
    <w:p w:rsidR="00EC64B4" w:rsidRDefault="00EC64B4" w:rsidP="0069068B">
      <w:pPr>
        <w:spacing w:after="0" w:line="240" w:lineRule="auto"/>
      </w:pPr>
      <w:r>
        <w:continuationSeparator/>
      </w:r>
    </w:p>
  </w:footnote>
  <w:footnote w:id="2">
    <w:p w:rsidR="0069068B" w:rsidRDefault="0069068B" w:rsidP="0069068B">
      <w:pPr>
        <w:pStyle w:val="a5"/>
        <w:spacing w:line="360" w:lineRule="auto"/>
        <w:jc w:val="both"/>
        <w:rPr>
          <w:sz w:val="24"/>
          <w:szCs w:val="24"/>
        </w:rPr>
      </w:pPr>
      <w:r>
        <w:rPr>
          <w:rStyle w:val="a7"/>
          <w:sz w:val="24"/>
          <w:szCs w:val="24"/>
        </w:rPr>
        <w:footnoteRef/>
      </w:r>
      <w:r>
        <w:rPr>
          <w:sz w:val="24"/>
          <w:szCs w:val="24"/>
        </w:rPr>
        <w:t xml:space="preserve"> Персоязычные народности.</w:t>
      </w:r>
    </w:p>
  </w:footnote>
  <w:footnote w:id="3">
    <w:p w:rsidR="0069068B" w:rsidRDefault="0069068B" w:rsidP="0069068B">
      <w:pPr>
        <w:pStyle w:val="a5"/>
        <w:spacing w:line="360" w:lineRule="auto"/>
        <w:jc w:val="both"/>
        <w:rPr>
          <w:sz w:val="24"/>
          <w:szCs w:val="24"/>
        </w:rPr>
      </w:pPr>
      <w:r>
        <w:rPr>
          <w:rStyle w:val="a7"/>
          <w:sz w:val="24"/>
          <w:szCs w:val="24"/>
        </w:rPr>
        <w:footnoteRef/>
      </w:r>
      <w:r>
        <w:rPr>
          <w:sz w:val="24"/>
          <w:szCs w:val="24"/>
        </w:rPr>
        <w:t xml:space="preserve"> Достаточно вспомнить средневековое правило майората, т.е. наследования имущества старшим сыном, что неизбежно приводило к массе конфликтов. В отдельных случаях майорат сохранялся законодательно еще в 20 в. – до </w:t>
      </w:r>
      <w:smartTag w:uri="urn:schemas-microsoft-com:office:smarttags" w:element="metricconverter">
        <w:smartTagPr>
          <w:attr w:name="ProductID" w:val="1917 г"/>
        </w:smartTagPr>
        <w:r>
          <w:rPr>
            <w:sz w:val="24"/>
            <w:szCs w:val="24"/>
          </w:rPr>
          <w:t>1917 г</w:t>
        </w:r>
      </w:smartTag>
      <w:r>
        <w:rPr>
          <w:sz w:val="24"/>
          <w:szCs w:val="24"/>
        </w:rPr>
        <w:t>. в России (не для всех слоев населения), позднее - до сер. 20 в. - в Германии, в Великобритании.</w:t>
      </w:r>
    </w:p>
  </w:footnote>
  <w:footnote w:id="4">
    <w:p w:rsidR="0069068B" w:rsidRDefault="0069068B" w:rsidP="0069068B">
      <w:pPr>
        <w:pStyle w:val="a5"/>
        <w:spacing w:line="360" w:lineRule="auto"/>
        <w:jc w:val="both"/>
        <w:rPr>
          <w:sz w:val="24"/>
          <w:szCs w:val="24"/>
        </w:rPr>
      </w:pPr>
      <w:r>
        <w:rPr>
          <w:rStyle w:val="a7"/>
          <w:sz w:val="24"/>
          <w:szCs w:val="24"/>
        </w:rPr>
        <w:footnoteRef/>
      </w:r>
      <w:r>
        <w:rPr>
          <w:sz w:val="24"/>
          <w:szCs w:val="24"/>
        </w:rPr>
        <w:t xml:space="preserve"> При свидетельствовании тоже.</w:t>
      </w:r>
    </w:p>
  </w:footnote>
  <w:footnote w:id="5">
    <w:p w:rsidR="0069068B" w:rsidRDefault="0069068B" w:rsidP="0069068B">
      <w:pPr>
        <w:pStyle w:val="a5"/>
        <w:spacing w:line="360" w:lineRule="auto"/>
        <w:jc w:val="both"/>
        <w:rPr>
          <w:sz w:val="24"/>
          <w:szCs w:val="24"/>
        </w:rPr>
      </w:pPr>
      <w:r>
        <w:rPr>
          <w:rStyle w:val="a7"/>
          <w:sz w:val="24"/>
          <w:szCs w:val="24"/>
        </w:rPr>
        <w:footnoteRef/>
      </w:r>
      <w:r>
        <w:rPr>
          <w:sz w:val="24"/>
          <w:szCs w:val="24"/>
        </w:rPr>
        <w:t xml:space="preserve"> лёгкое женское </w:t>
      </w:r>
      <w:hyperlink r:id="rId1" w:tooltip="Покрывало (страница отсутствует)" w:history="1">
        <w:r>
          <w:rPr>
            <w:rStyle w:val="a3"/>
            <w:color w:val="auto"/>
            <w:sz w:val="24"/>
            <w:szCs w:val="24"/>
            <w:u w:val="none"/>
          </w:rPr>
          <w:t>покрывало</w:t>
        </w:r>
      </w:hyperlink>
      <w:r>
        <w:rPr>
          <w:sz w:val="24"/>
          <w:szCs w:val="24"/>
        </w:rPr>
        <w:t xml:space="preserve"> белого, синего или чёрного цвета, закрывающее фигуру женщины с головы до ног, головная часть чадры состоит из </w:t>
      </w:r>
      <w:hyperlink r:id="rId2" w:tooltip="Муслин (ткань)" w:history="1">
        <w:r>
          <w:rPr>
            <w:rStyle w:val="a3"/>
            <w:color w:val="auto"/>
            <w:sz w:val="24"/>
            <w:szCs w:val="24"/>
            <w:u w:val="none"/>
          </w:rPr>
          <w:t>муслиновой</w:t>
        </w:r>
      </w:hyperlink>
      <w:r>
        <w:rPr>
          <w:sz w:val="24"/>
          <w:szCs w:val="24"/>
        </w:rPr>
        <w:t xml:space="preserve"> ткани, закрывающей лицо, и ткани, закрывающей голову.</w:t>
      </w:r>
    </w:p>
  </w:footnote>
  <w:footnote w:id="6">
    <w:p w:rsidR="0069068B" w:rsidRDefault="0069068B" w:rsidP="0069068B">
      <w:pPr>
        <w:pStyle w:val="a5"/>
        <w:spacing w:line="360" w:lineRule="auto"/>
        <w:jc w:val="both"/>
        <w:rPr>
          <w:sz w:val="24"/>
          <w:szCs w:val="24"/>
        </w:rPr>
      </w:pPr>
      <w:r>
        <w:rPr>
          <w:rStyle w:val="a7"/>
          <w:sz w:val="24"/>
          <w:szCs w:val="24"/>
        </w:rPr>
        <w:footnoteRef/>
      </w:r>
      <w:r>
        <w:rPr>
          <w:sz w:val="24"/>
          <w:szCs w:val="24"/>
        </w:rPr>
        <w:t xml:space="preserve"> Род чадры у турчанок</w:t>
      </w:r>
    </w:p>
  </w:footnote>
  <w:footnote w:id="7">
    <w:p w:rsidR="0069068B" w:rsidRDefault="0069068B" w:rsidP="0069068B">
      <w:pPr>
        <w:pStyle w:val="a5"/>
        <w:spacing w:line="360" w:lineRule="auto"/>
        <w:jc w:val="both"/>
        <w:rPr>
          <w:sz w:val="24"/>
          <w:szCs w:val="24"/>
        </w:rPr>
      </w:pPr>
      <w:r>
        <w:rPr>
          <w:rStyle w:val="a7"/>
          <w:sz w:val="24"/>
          <w:szCs w:val="24"/>
        </w:rPr>
        <w:footnoteRef/>
      </w:r>
      <w:r>
        <w:rPr>
          <w:sz w:val="24"/>
          <w:szCs w:val="24"/>
        </w:rPr>
        <w:t xml:space="preserve"> в </w:t>
      </w:r>
      <w:hyperlink r:id="rId3" w:tooltip="Ислам" w:history="1">
        <w:r>
          <w:rPr>
            <w:rStyle w:val="a3"/>
            <w:color w:val="auto"/>
            <w:sz w:val="24"/>
            <w:szCs w:val="24"/>
            <w:u w:val="none"/>
          </w:rPr>
          <w:t>исламе</w:t>
        </w:r>
      </w:hyperlink>
      <w:r>
        <w:rPr>
          <w:sz w:val="24"/>
          <w:szCs w:val="24"/>
        </w:rPr>
        <w:t xml:space="preserve"> — любая одежда (от головы до ног), но в западном мире, как правило, под хиджабом понимают традиционный исламский женский головной платок.</w:t>
      </w:r>
    </w:p>
  </w:footnote>
  <w:footnote w:id="8">
    <w:p w:rsidR="0069068B" w:rsidRDefault="0069068B" w:rsidP="0069068B">
      <w:pPr>
        <w:pStyle w:val="a5"/>
        <w:spacing w:line="360" w:lineRule="auto"/>
        <w:jc w:val="both"/>
        <w:rPr>
          <w:sz w:val="24"/>
          <w:szCs w:val="24"/>
        </w:rPr>
      </w:pPr>
      <w:r>
        <w:rPr>
          <w:rStyle w:val="a7"/>
          <w:sz w:val="24"/>
          <w:szCs w:val="24"/>
        </w:rPr>
        <w:footnoteRef/>
      </w:r>
      <w:r>
        <w:rPr>
          <w:sz w:val="24"/>
          <w:szCs w:val="24"/>
        </w:rPr>
        <w:t xml:space="preserve"> Паранджа и чачван были распространены в Средней Азии (Узбекистан, Таджикистан)</w:t>
      </w:r>
    </w:p>
  </w:footnote>
  <w:footnote w:id="9">
    <w:p w:rsidR="0069068B" w:rsidRDefault="0069068B" w:rsidP="0069068B">
      <w:pPr>
        <w:pStyle w:val="a5"/>
        <w:spacing w:line="360" w:lineRule="auto"/>
        <w:jc w:val="both"/>
        <w:rPr>
          <w:sz w:val="24"/>
          <w:szCs w:val="24"/>
        </w:rPr>
      </w:pPr>
      <w:r>
        <w:rPr>
          <w:rStyle w:val="a7"/>
          <w:sz w:val="24"/>
          <w:szCs w:val="24"/>
        </w:rPr>
        <w:footnoteRef/>
      </w:r>
      <w:r>
        <w:rPr>
          <w:sz w:val="24"/>
          <w:szCs w:val="24"/>
        </w:rPr>
        <w:t xml:space="preserve"> Например, турецкий султан Мехмед III (1595-1603) в целях безопасности после прихода к власти уничтожил 19 своих братьев, а также приказал утопить беременных жен своего отца.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9068B"/>
    <w:rsid w:val="0069068B"/>
    <w:rsid w:val="00EC6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9068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906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note text"/>
    <w:basedOn w:val="a"/>
    <w:link w:val="a6"/>
    <w:uiPriority w:val="99"/>
    <w:semiHidden/>
    <w:unhideWhenUsed/>
    <w:rsid w:val="006906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69068B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footnote reference"/>
    <w:basedOn w:val="a0"/>
    <w:semiHidden/>
    <w:unhideWhenUsed/>
    <w:rsid w:val="0069068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70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0%D0%BB%D0%B8_%D0%B8%D0%B1%D0%BD_%D0%90%D0%B1%D1%83_%D0%A2%D0%B0%D0%BB%D0%B8%D0%B1" TargetMode="External"/><Relationship Id="rId13" Type="http://schemas.openxmlformats.org/officeDocument/2006/relationships/hyperlink" Target="http://ru.wikipedia.org/wiki/%D0%91%D0%B0%D1%85%D1%80%D0%B5%D0%B9%D0%BD" TargetMode="External"/><Relationship Id="rId18" Type="http://schemas.openxmlformats.org/officeDocument/2006/relationships/hyperlink" Target="http://ru.wikipedia.org/wiki/%D0%A5%D0%B0%D0%B7%D0%B0%D1%80%D0%B5%D0%B9%D1%86%D1%8B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://ru.wikipedia.org/wiki/%D0%A2%D0%B0%D1%82%D1%8B" TargetMode="External"/><Relationship Id="rId7" Type="http://schemas.openxmlformats.org/officeDocument/2006/relationships/hyperlink" Target="http://ru.wikipedia.org/wiki/%D0%98%D0%BC%D0%B0%D0%BC" TargetMode="External"/><Relationship Id="rId12" Type="http://schemas.openxmlformats.org/officeDocument/2006/relationships/hyperlink" Target="http://ru.wikipedia.org/wiki/%D0%90%D0%B7%D0%B5%D1%80%D0%B1%D0%B0%D0%B9%D0%B4%D0%B6%D0%B0%D0%BD" TargetMode="External"/><Relationship Id="rId17" Type="http://schemas.openxmlformats.org/officeDocument/2006/relationships/hyperlink" Target="http://ru.wikipedia.org/wiki/%D0%A4%D0%B0%D1%80%D1%81%D0%B8%D0%B2%D0%B0%D0%BD%D1%8B" TargetMode="External"/><Relationship Id="rId25" Type="http://schemas.openxmlformats.org/officeDocument/2006/relationships/hyperlink" Target="http://ru.wikipedia.org/wiki/%D0%90%D0%B7%D0%B5%D1%80%D0%B1%D0%B0%D0%B9%D0%B4%D0%B6%D0%B0%D0%BD%D1%86%D1%8B_%D0%B2_%D0%A0%D0%BE%D1%81%D1%81%D0%B8%D0%B8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ru.wikipedia.org/wiki/%D0%99%D0%B5%D0%BC%D0%B5%D0%BD" TargetMode="External"/><Relationship Id="rId20" Type="http://schemas.openxmlformats.org/officeDocument/2006/relationships/hyperlink" Target="http://ru.wikipedia.org/wiki/%D0%A2%D0%B0%D0%B4%D0%B6%D0%B8%D0%BA%D0%B8%D1%81%D1%82%D0%B0%D0%BD" TargetMode="External"/><Relationship Id="rId1" Type="http://schemas.openxmlformats.org/officeDocument/2006/relationships/styles" Target="styles.xml"/><Relationship Id="rId6" Type="http://schemas.openxmlformats.org/officeDocument/2006/relationships/hyperlink" Target="http://ru.wikipedia.org/wiki/%D0%A3%D0%BC%D0%BC%D0%B0" TargetMode="External"/><Relationship Id="rId11" Type="http://schemas.openxmlformats.org/officeDocument/2006/relationships/hyperlink" Target="http://ru.wikipedia.org/wiki/%D0%98%D1%80%D0%B0%D0%BD" TargetMode="External"/><Relationship Id="rId24" Type="http://schemas.openxmlformats.org/officeDocument/2006/relationships/hyperlink" Target="http://ru.wikipedia.org/wiki/%D0%94%D0%B5%D1%80%D0%B1%D0%B5%D0%BD%D1%82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ru.wikipedia.org/wiki/%D0%9B%D0%B8%D0%B2%D0%B0%D0%BD" TargetMode="External"/><Relationship Id="rId23" Type="http://schemas.openxmlformats.org/officeDocument/2006/relationships/hyperlink" Target="http://ru.wikipedia.org/wiki/%D0%9C%D0%B8%D1%81%D0%BA%D0%B8%D0%BD%D0%B4%D0%B6%D0%B0" TargetMode="External"/><Relationship Id="rId10" Type="http://schemas.openxmlformats.org/officeDocument/2006/relationships/hyperlink" Target="http://ru.wikipedia.org/wiki/%D0%A5%D0%B0%D0%BB%D0%B8%D1%84" TargetMode="External"/><Relationship Id="rId19" Type="http://schemas.openxmlformats.org/officeDocument/2006/relationships/hyperlink" Target="http://ru.wikipedia.org/wiki/%D0%93%D0%BE%D1%80%D0%BD%D0%BE-%D0%91%D0%B0%D0%B4%D0%B0%D1%85%D1%88%D0%B0%D0%BD%D1%81%D0%BA%D0%B0%D1%8F_%D0%BE%D0%B1%D0%BB%D0%B0%D1%81%D1%82%D1%8C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ru.wikipedia.org/wiki/%D0%A4%D0%B0%D1%82%D0%B8%D0%BC%D0%B0_(%D0%B4%D0%BE%D1%87%D1%8C_%D0%BF%D1%80%D0%BE%D1%80%D0%BE%D0%BA%D0%B0)" TargetMode="External"/><Relationship Id="rId14" Type="http://schemas.openxmlformats.org/officeDocument/2006/relationships/hyperlink" Target="http://ru.wikipedia.org/wiki/%D0%98%D1%80%D0%B0%D0%BA" TargetMode="External"/><Relationship Id="rId22" Type="http://schemas.openxmlformats.org/officeDocument/2006/relationships/hyperlink" Target="http://ru.wikipedia.org/wiki/%D0%9B%D0%B5%D0%B7%D0%B3%D0%B8%D0%BD%D1%8B" TargetMode="External"/><Relationship Id="rId27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ru.wikipedia.org/wiki/%D0%98%D1%81%D0%BB%D0%B0%D0%BC" TargetMode="External"/><Relationship Id="rId2" Type="http://schemas.openxmlformats.org/officeDocument/2006/relationships/hyperlink" Target="http://ru.wikipedia.org/wiki/%D0%9C%D1%83%D1%81%D0%BB%D0%B8%D0%BD_(%D1%82%D0%BA%D0%B0%D0%BD%D1%8C)" TargetMode="External"/><Relationship Id="rId1" Type="http://schemas.openxmlformats.org/officeDocument/2006/relationships/hyperlink" Target="http://ru.wikipedia.org/w/index.php?title=%D0%9F%D0%BE%D0%BA%D1%80%D1%8B%D0%B2%D0%B0%D0%BB%D0%BE&amp;action=edit&amp;redlink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1584</Words>
  <Characters>9029</Characters>
  <Application>Microsoft Office Word</Application>
  <DocSecurity>0</DocSecurity>
  <Lines>75</Lines>
  <Paragraphs>21</Paragraphs>
  <ScaleCrop>false</ScaleCrop>
  <Company>Reanimator Extreme Edition</Company>
  <LinksUpToDate>false</LinksUpToDate>
  <CharactersWithSpaces>10592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2018-12-10T20:20:00Z</dcterms:created>
  <dcterms:modified xsi:type="dcterms:W3CDTF">2018-12-10T20:22:00Z</dcterms:modified>
</cp:coreProperties>
</file>